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4FB" w:rsidRDefault="00F324FB" w:rsidP="00F324FB">
      <w:pPr>
        <w:pStyle w:val="Default"/>
        <w:jc w:val="center"/>
        <w:rPr>
          <w:rFonts w:asciiTheme="minorHAnsi" w:hAnsiTheme="minorHAnsi" w:cstheme="minorBidi"/>
          <w:color w:val="auto"/>
          <w:sz w:val="22"/>
          <w:szCs w:val="22"/>
        </w:rPr>
      </w:pPr>
    </w:p>
    <w:p w:rsidR="00F324FB" w:rsidRDefault="00F324FB" w:rsidP="00F324FB">
      <w:pPr>
        <w:pStyle w:val="Default"/>
        <w:jc w:val="center"/>
        <w:rPr>
          <w:rFonts w:asciiTheme="minorHAnsi" w:hAnsiTheme="minorHAnsi" w:cstheme="minorBidi"/>
          <w:color w:val="auto"/>
          <w:sz w:val="22"/>
          <w:szCs w:val="22"/>
        </w:rPr>
      </w:pPr>
    </w:p>
    <w:p w:rsidR="00F324FB" w:rsidRDefault="00F324FB" w:rsidP="00F324FB">
      <w:pPr>
        <w:pStyle w:val="Default"/>
        <w:jc w:val="center"/>
        <w:rPr>
          <w:rFonts w:asciiTheme="minorHAnsi" w:hAnsiTheme="minorHAnsi" w:cstheme="minorBidi"/>
          <w:color w:val="auto"/>
          <w:sz w:val="22"/>
          <w:szCs w:val="22"/>
        </w:rPr>
      </w:pPr>
    </w:p>
    <w:p w:rsidR="00F324FB" w:rsidRDefault="00F324FB" w:rsidP="00F324FB">
      <w:pPr>
        <w:pStyle w:val="Default"/>
        <w:jc w:val="center"/>
        <w:rPr>
          <w:rFonts w:asciiTheme="minorHAnsi" w:hAnsiTheme="minorHAnsi" w:cstheme="minorBidi"/>
          <w:color w:val="auto"/>
          <w:sz w:val="22"/>
          <w:szCs w:val="22"/>
        </w:rPr>
      </w:pPr>
    </w:p>
    <w:p w:rsidR="00F324FB" w:rsidRDefault="00F324FB" w:rsidP="00F324FB">
      <w:pPr>
        <w:pStyle w:val="Default"/>
        <w:jc w:val="center"/>
        <w:rPr>
          <w:rFonts w:asciiTheme="minorHAnsi" w:hAnsiTheme="minorHAnsi" w:cstheme="minorBidi"/>
          <w:color w:val="auto"/>
          <w:sz w:val="22"/>
          <w:szCs w:val="22"/>
        </w:rPr>
      </w:pPr>
    </w:p>
    <w:p w:rsidR="00F324FB" w:rsidRDefault="00F324FB" w:rsidP="00F324FB">
      <w:pPr>
        <w:pStyle w:val="Default"/>
        <w:jc w:val="center"/>
        <w:rPr>
          <w:rFonts w:asciiTheme="minorHAnsi" w:hAnsiTheme="minorHAnsi" w:cstheme="minorBidi"/>
          <w:color w:val="auto"/>
          <w:sz w:val="22"/>
          <w:szCs w:val="22"/>
        </w:rPr>
      </w:pPr>
    </w:p>
    <w:p w:rsidR="00F324FB" w:rsidRDefault="00F324FB" w:rsidP="00F324FB">
      <w:pPr>
        <w:pStyle w:val="Default"/>
        <w:jc w:val="center"/>
        <w:rPr>
          <w:rFonts w:asciiTheme="minorHAnsi" w:hAnsiTheme="minorHAnsi" w:cstheme="minorBidi"/>
          <w:color w:val="auto"/>
          <w:sz w:val="22"/>
          <w:szCs w:val="22"/>
        </w:rPr>
      </w:pPr>
    </w:p>
    <w:p w:rsidR="00F324FB" w:rsidRDefault="00F324FB" w:rsidP="00F324FB">
      <w:pPr>
        <w:pStyle w:val="Default"/>
        <w:jc w:val="center"/>
        <w:rPr>
          <w:rFonts w:asciiTheme="minorHAnsi" w:hAnsiTheme="minorHAnsi" w:cstheme="minorBidi"/>
          <w:color w:val="auto"/>
          <w:sz w:val="22"/>
          <w:szCs w:val="22"/>
        </w:rPr>
      </w:pPr>
    </w:p>
    <w:p w:rsidR="00F324FB" w:rsidRDefault="00F324FB" w:rsidP="00F324FB">
      <w:pPr>
        <w:pStyle w:val="Default"/>
        <w:jc w:val="center"/>
        <w:rPr>
          <w:rFonts w:asciiTheme="minorHAnsi" w:hAnsiTheme="minorHAnsi" w:cstheme="minorBidi"/>
          <w:color w:val="auto"/>
          <w:sz w:val="22"/>
          <w:szCs w:val="22"/>
        </w:rPr>
      </w:pPr>
    </w:p>
    <w:p w:rsidR="00F324FB" w:rsidRDefault="00F324FB" w:rsidP="00F324FB">
      <w:pPr>
        <w:pStyle w:val="Default"/>
        <w:jc w:val="center"/>
        <w:rPr>
          <w:rFonts w:asciiTheme="minorHAnsi" w:hAnsiTheme="minorHAnsi" w:cstheme="minorBidi"/>
          <w:color w:val="auto"/>
          <w:sz w:val="22"/>
          <w:szCs w:val="22"/>
        </w:rPr>
      </w:pPr>
    </w:p>
    <w:p w:rsidR="00F324FB" w:rsidRDefault="00F324FB" w:rsidP="00F324FB">
      <w:pPr>
        <w:pStyle w:val="Default"/>
        <w:jc w:val="center"/>
        <w:rPr>
          <w:rFonts w:asciiTheme="minorHAnsi" w:hAnsiTheme="minorHAnsi" w:cstheme="minorBidi"/>
          <w:color w:val="auto"/>
          <w:sz w:val="22"/>
          <w:szCs w:val="22"/>
        </w:rPr>
      </w:pPr>
    </w:p>
    <w:p w:rsidR="00F324FB" w:rsidRDefault="00F324FB" w:rsidP="00F324FB">
      <w:pPr>
        <w:pStyle w:val="Default"/>
        <w:jc w:val="center"/>
        <w:rPr>
          <w:rFonts w:asciiTheme="minorHAnsi" w:hAnsiTheme="minorHAnsi" w:cstheme="minorBidi"/>
          <w:color w:val="auto"/>
          <w:sz w:val="22"/>
          <w:szCs w:val="22"/>
        </w:rPr>
      </w:pPr>
    </w:p>
    <w:p w:rsidR="00F324FB" w:rsidRDefault="00F324FB" w:rsidP="00F324FB">
      <w:pPr>
        <w:pStyle w:val="Default"/>
        <w:jc w:val="center"/>
        <w:rPr>
          <w:rFonts w:asciiTheme="minorHAnsi" w:hAnsiTheme="minorHAnsi" w:cstheme="minorBidi"/>
          <w:color w:val="auto"/>
          <w:sz w:val="22"/>
          <w:szCs w:val="22"/>
        </w:rPr>
      </w:pPr>
    </w:p>
    <w:p w:rsidR="00F324FB" w:rsidRPr="00F324FB" w:rsidRDefault="00F324FB" w:rsidP="00F324FB">
      <w:pPr>
        <w:pStyle w:val="Default"/>
        <w:jc w:val="center"/>
        <w:rPr>
          <w:rFonts w:asciiTheme="minorHAnsi" w:hAnsiTheme="minorHAnsi" w:cstheme="minorBidi"/>
          <w:color w:val="auto"/>
          <w:sz w:val="22"/>
          <w:szCs w:val="22"/>
        </w:rPr>
      </w:pPr>
      <w:r w:rsidRPr="00F324FB">
        <w:rPr>
          <w:rFonts w:asciiTheme="minorHAnsi" w:hAnsiTheme="minorHAnsi" w:cstheme="minorBidi"/>
          <w:color w:val="auto"/>
          <w:sz w:val="22"/>
          <w:szCs w:val="22"/>
        </w:rPr>
        <w:t>LA COOPERACIÓN DESCENTRALIZADA PÚBLICA: SUS MODELOS Y FUNDAMENTOS EN EL ESPACIOEUROLATINOAMERICANO</w:t>
      </w:r>
    </w:p>
    <w:p w:rsidR="00F324FB" w:rsidRDefault="00F324FB" w:rsidP="00F324FB">
      <w:pPr>
        <w:pStyle w:val="Default"/>
        <w:jc w:val="center"/>
        <w:rPr>
          <w:color w:val="auto"/>
        </w:rPr>
        <w:sectPr w:rsidR="00F324FB">
          <w:pgSz w:w="11338" w:h="11838"/>
          <w:pgMar w:top="1088" w:right="900" w:bottom="639" w:left="493" w:header="720" w:footer="720" w:gutter="0"/>
          <w:cols w:space="720"/>
          <w:noEndnote/>
        </w:sectPr>
      </w:pPr>
      <w:r w:rsidRPr="00F324FB">
        <w:rPr>
          <w:rFonts w:asciiTheme="minorHAnsi" w:hAnsiTheme="minorHAnsi" w:cstheme="minorBidi"/>
          <w:color w:val="auto"/>
          <w:sz w:val="22"/>
          <w:szCs w:val="22"/>
        </w:rPr>
        <w:t>María del Huerto Romero (Universidad</w:t>
      </w:r>
      <w:r>
        <w:rPr>
          <w:rFonts w:asciiTheme="minorHAnsi" w:hAnsiTheme="minorHAnsi" w:cstheme="minorBidi"/>
          <w:color w:val="auto"/>
          <w:sz w:val="22"/>
          <w:szCs w:val="22"/>
        </w:rPr>
        <w:t xml:space="preserve"> Nacional de Rosario, Argentina</w:t>
      </w:r>
    </w:p>
    <w:p w:rsidR="00F324FB" w:rsidRDefault="00F324FB" w:rsidP="00F324FB">
      <w:pPr>
        <w:pStyle w:val="Default"/>
        <w:spacing w:line="241" w:lineRule="atLeast"/>
        <w:jc w:val="both"/>
        <w:rPr>
          <w:rStyle w:val="A3"/>
        </w:rPr>
      </w:pPr>
      <w:r>
        <w:rPr>
          <w:rStyle w:val="A3"/>
        </w:rPr>
        <w:lastRenderedPageBreak/>
        <w:t>Durante las últimas tres décadas, los gobiernos locales</w:t>
      </w:r>
      <w:r>
        <w:rPr>
          <w:rStyle w:val="A9"/>
        </w:rPr>
        <w:t xml:space="preserve">1 </w:t>
      </w:r>
      <w:r>
        <w:rPr>
          <w:rStyle w:val="A3"/>
        </w:rPr>
        <w:t xml:space="preserve">han pasado de ser meros espectadores o sujetos pasivos de las acciones de cooperación programadas por los gobiernos centrales u organismos internacionales, </w:t>
      </w:r>
      <w:proofErr w:type="spellStart"/>
      <w:r>
        <w:rPr>
          <w:rStyle w:val="A3"/>
        </w:rPr>
        <w:t>a</w:t>
      </w:r>
      <w:proofErr w:type="spellEnd"/>
      <w:r>
        <w:rPr>
          <w:rStyle w:val="A3"/>
        </w:rPr>
        <w:t xml:space="preserve"> convertirse en verdaderos sujetos activos de la cooperación al desarrollo, dando lugar al surgimiento del fenómeno conocido como cooperación descentralizada pública (CDP)</w:t>
      </w:r>
      <w:r>
        <w:rPr>
          <w:rStyle w:val="Refdenotaalpie"/>
          <w:color w:val="221E1F"/>
          <w:sz w:val="20"/>
          <w:szCs w:val="20"/>
        </w:rPr>
        <w:footnoteReference w:id="1"/>
      </w:r>
      <w:r>
        <w:rPr>
          <w:rStyle w:val="A3"/>
        </w:rPr>
        <w:t xml:space="preserve">. </w:t>
      </w:r>
    </w:p>
    <w:p w:rsidR="00F324FB" w:rsidRDefault="00F324FB" w:rsidP="00F324FB">
      <w:pPr>
        <w:pStyle w:val="Default"/>
        <w:spacing w:line="241" w:lineRule="atLeast"/>
        <w:jc w:val="both"/>
        <w:rPr>
          <w:color w:val="221E1F"/>
          <w:sz w:val="20"/>
          <w:szCs w:val="20"/>
        </w:rPr>
      </w:pPr>
    </w:p>
    <w:p w:rsidR="00F324FB" w:rsidRDefault="00F324FB" w:rsidP="00F324FB">
      <w:pPr>
        <w:pStyle w:val="Pa1"/>
        <w:jc w:val="both"/>
        <w:rPr>
          <w:rStyle w:val="A3"/>
        </w:rPr>
      </w:pPr>
      <w:r>
        <w:rPr>
          <w:rStyle w:val="A3"/>
        </w:rPr>
        <w:t xml:space="preserve">El surgimiento de la CDP es el resultado de diversos procesos de alcance global y local: el creciente papel de los gobiernos no centrales en la escena internacional desde mediados de los 80; el debate en torno al modelo clásico de cooperación al desarrollo (particularmente sobre sus actores y su eficacia); el inicio/potenciación de procesos de descentralización en gran parte del mundo; y la creciente valorización de la calidad de los gobiernos locales como agentes del desarrollo. </w:t>
      </w:r>
    </w:p>
    <w:p w:rsidR="00F324FB" w:rsidRPr="00F324FB" w:rsidRDefault="00F324FB" w:rsidP="00F324FB">
      <w:pPr>
        <w:pStyle w:val="Default"/>
      </w:pPr>
    </w:p>
    <w:p w:rsidR="00F324FB" w:rsidRDefault="00F324FB" w:rsidP="00F324FB">
      <w:pPr>
        <w:pStyle w:val="Pa1"/>
        <w:jc w:val="both"/>
        <w:rPr>
          <w:rStyle w:val="A3"/>
        </w:rPr>
      </w:pPr>
      <w:r>
        <w:rPr>
          <w:rStyle w:val="A3"/>
        </w:rPr>
        <w:t xml:space="preserve">La pertinencia y el valor añadido de la CDP han sido ampliamente reconocidos por la mayoría de los actores tradicionales de la cooperación al desarrollo. Ello ha sido particularmente notorio en el espacio </w:t>
      </w:r>
      <w:r>
        <w:rPr>
          <w:rStyle w:val="A3"/>
        </w:rPr>
        <w:t>euro latinoamericano</w:t>
      </w:r>
      <w:r>
        <w:rPr>
          <w:rStyle w:val="A3"/>
        </w:rPr>
        <w:t xml:space="preserve">, como lo demuestran, entre otros: la comunicación de la Comisión Europea de 2008 “Autoridades Locales: Agentes del Desarrollo”; el impulso que dicho organismo otorgó para la creación del Observatorio de la Cooperación Descentralizada Unión Europea-América Latina; y los más de diez años de desarrollo del Programa URB-AL de la Comisión Europea. </w:t>
      </w:r>
    </w:p>
    <w:p w:rsidR="00F324FB" w:rsidRPr="00F324FB" w:rsidRDefault="00F324FB" w:rsidP="00F324FB">
      <w:pPr>
        <w:pStyle w:val="Default"/>
      </w:pPr>
    </w:p>
    <w:p w:rsidR="00F324FB" w:rsidRDefault="00F324FB" w:rsidP="00F324FB">
      <w:pPr>
        <w:pStyle w:val="Pa1"/>
        <w:jc w:val="both"/>
        <w:rPr>
          <w:rStyle w:val="A3"/>
        </w:rPr>
      </w:pPr>
      <w:r>
        <w:rPr>
          <w:rStyle w:val="A3"/>
        </w:rPr>
        <w:t xml:space="preserve">Sin embargo, la evolución de la CDP no ha sido lineal ni homogénea en los gobiernos locales de Europa y América Latina. Sus prácticas, modalidades e instrumentos han ido cambiando y combinándose, a la par que se modifican las motivaciones y fundamentos de las autoridades locales para intervenir en el ámbito de la cooperación al desarrollo. Este último aspecto -los motivos y fundamentos- constituye en la actualidad (junto a la preocupación por las implicaciones de la Agenda de París sobre la CDP y sobre el papel de ésta en la nueva arquitectura de la cooperación al desarrollo) uno de los principales temas de debate entre los actores públicos locales de ambas regiones. </w:t>
      </w:r>
    </w:p>
    <w:p w:rsidR="00F324FB" w:rsidRPr="00F324FB" w:rsidRDefault="00F324FB" w:rsidP="00F324FB">
      <w:pPr>
        <w:pStyle w:val="Default"/>
      </w:pPr>
    </w:p>
    <w:p w:rsidR="00F324FB" w:rsidRDefault="00F324FB" w:rsidP="00F324FB">
      <w:pPr>
        <w:pStyle w:val="Pa1"/>
        <w:rPr>
          <w:rStyle w:val="A3"/>
          <w:b/>
          <w:bCs/>
          <w:i/>
          <w:iCs/>
          <w:color w:val="F27E23"/>
        </w:rPr>
      </w:pPr>
      <w:r>
        <w:rPr>
          <w:rStyle w:val="A3"/>
          <w:b/>
          <w:bCs/>
          <w:i/>
          <w:iCs/>
          <w:color w:val="F27E23"/>
        </w:rPr>
        <w:t xml:space="preserve">La evolución de los modelos </w:t>
      </w:r>
    </w:p>
    <w:p w:rsidR="00F324FB" w:rsidRPr="00F324FB" w:rsidRDefault="00F324FB" w:rsidP="00F324FB">
      <w:pPr>
        <w:pStyle w:val="Default"/>
      </w:pPr>
    </w:p>
    <w:p w:rsidR="00F324FB" w:rsidRDefault="00F324FB" w:rsidP="00F324FB">
      <w:pPr>
        <w:pStyle w:val="Pa1"/>
        <w:jc w:val="both"/>
        <w:rPr>
          <w:rStyle w:val="A3"/>
        </w:rPr>
      </w:pPr>
      <w:r>
        <w:rPr>
          <w:rStyle w:val="A3"/>
        </w:rPr>
        <w:t xml:space="preserve">A principios de los años 80, los gobiernos locales europeos comenzaron a definir relaciones con otras ciudades en países en desarrollo, principalmente a través de la modalidad de los hermanamientos. Éstos respondían a distintas motivaciones: ideológicas (respaldo político), de base colonial (entre gobiernos locales de las antiguas colonias con los de sus respectivas metrópolis); vínculos generados por las migraciones de ciudadanos europeos durante el siglo XX. Esta modalidad inicial de CDP responde a la concepción clásica de cooperación al desarrollo (instrumento de “ayuda” o “asistencia” del donante hacia el receptor), con un claro sentido “vertical” (el gobierno local del Norte traslada recursos al gobierno local del Sur). </w:t>
      </w:r>
    </w:p>
    <w:p w:rsidR="00F324FB" w:rsidRPr="00F324FB" w:rsidRDefault="00F324FB" w:rsidP="00F324FB">
      <w:pPr>
        <w:pStyle w:val="Default"/>
      </w:pPr>
    </w:p>
    <w:p w:rsidR="00F324FB" w:rsidRDefault="00F324FB" w:rsidP="00F324FB">
      <w:pPr>
        <w:pStyle w:val="Pa1"/>
        <w:jc w:val="both"/>
        <w:rPr>
          <w:rStyle w:val="A3"/>
        </w:rPr>
      </w:pPr>
      <w:r>
        <w:rPr>
          <w:rStyle w:val="A3"/>
        </w:rPr>
        <w:t>A principios de la década de los noventa, y tras la campaña del 0,7%, muchos gobiernos locales europeos empezaron a destinar una partida de su presupuesto a la cooperación al desarrollo, más allá de los hermanamientos (que no desaparecen, pero dejan de ser el mecanismo</w:t>
      </w:r>
      <w:r>
        <w:rPr>
          <w:rStyle w:val="A3"/>
        </w:rPr>
        <w:t xml:space="preserve"> </w:t>
      </w:r>
      <w:r w:rsidRPr="00F324FB">
        <w:rPr>
          <w:rStyle w:val="A3"/>
        </w:rPr>
        <w:t>dominante de la CDP). Se consolidan, entonces, dos tipos de intervención (con pesos diferentes cada uno, según los países): la cooperación directa y la cooperación a través de otros actores, fundamentalmente ONGD. Paralelamente, en América Latina los gobiernos locales iniciaban (o potenciaban, en ciertos casos) un proceso de creciente involucramiento en la actividad internacional. Impulsada por estas realidades en ambas regiones, la CDP euro latinoamericana adquirió un gran dinamismo a partir de los 90.</w:t>
      </w:r>
    </w:p>
    <w:p w:rsidR="00F324FB" w:rsidRPr="00F324FB" w:rsidRDefault="00F324FB" w:rsidP="00F324FB">
      <w:pPr>
        <w:pStyle w:val="Default"/>
      </w:pPr>
    </w:p>
    <w:p w:rsidR="00F324FB" w:rsidRPr="00F324FB" w:rsidRDefault="00F324FB" w:rsidP="00F324FB">
      <w:pPr>
        <w:pStyle w:val="Pa1"/>
        <w:jc w:val="both"/>
        <w:rPr>
          <w:rStyle w:val="A3"/>
        </w:rPr>
      </w:pPr>
      <w:r w:rsidRPr="00F324FB">
        <w:rPr>
          <w:rStyle w:val="A3"/>
        </w:rPr>
        <w:t>Si bien ambas modalidades (directa e indirecta) de la CDP se consolidaron también en sus inicios bajo el modelo de cooperación “vertical”, desde hace algunos años están transitando un camino -no lineal ni generalizado- de cambio hacia nuevos modelos. En el caso de la indirecta, evoluciona y se sofistica (con la introducción de criterios de elegibilidad más elaborados), tratando de ser más eficaz. En la cooperación directa, por su parte, lentamente se viene superando el paradigma “asistencial”, avanzando hacia un modelo de carácter “horizontal” en el que la relación, entre iguales (a pesar de situarse en contextos asimétricos), genera un beneficio mutuo, particularmente en el ámbito del refuerzo de las capacidades de los gobiernos locales y de sus políticas públicas.</w:t>
      </w:r>
    </w:p>
    <w:p w:rsidR="00F324FB" w:rsidRPr="00F324FB" w:rsidRDefault="00F324FB" w:rsidP="00F324FB">
      <w:pPr>
        <w:pStyle w:val="Pa1"/>
        <w:rPr>
          <w:rStyle w:val="A3"/>
          <w:b/>
          <w:bCs/>
          <w:i/>
          <w:iCs/>
          <w:color w:val="F27E23"/>
        </w:rPr>
      </w:pPr>
      <w:r w:rsidRPr="00F324FB">
        <w:rPr>
          <w:rStyle w:val="A3"/>
          <w:b/>
          <w:bCs/>
          <w:i/>
          <w:iCs/>
          <w:color w:val="F27E23"/>
        </w:rPr>
        <w:t>La preocupación por los fundamentos.</w:t>
      </w:r>
    </w:p>
    <w:p w:rsidR="00F324FB" w:rsidRPr="00F324FB" w:rsidRDefault="00F324FB" w:rsidP="00F324FB">
      <w:pPr>
        <w:pStyle w:val="Default"/>
      </w:pPr>
    </w:p>
    <w:p w:rsidR="00F324FB" w:rsidRDefault="00F324FB" w:rsidP="00F324FB">
      <w:pPr>
        <w:pStyle w:val="Pa1"/>
        <w:jc w:val="both"/>
        <w:rPr>
          <w:rStyle w:val="A3"/>
        </w:rPr>
      </w:pPr>
      <w:r w:rsidRPr="00F324FB">
        <w:rPr>
          <w:rStyle w:val="A3"/>
        </w:rPr>
        <w:t>El debate sobre los motivos por los cuales los gobiernos locales deciden actuar en la cooperación descentralizada pareciera haber acompañado de diferente forma -en América Latina y en Europa- a los cambios en los modelos de CDP.</w:t>
      </w:r>
    </w:p>
    <w:p w:rsidR="00F324FB" w:rsidRPr="00F324FB" w:rsidRDefault="00F324FB" w:rsidP="00F324FB">
      <w:pPr>
        <w:pStyle w:val="Default"/>
      </w:pPr>
    </w:p>
    <w:p w:rsidR="00F324FB" w:rsidRDefault="00F324FB" w:rsidP="00F324FB">
      <w:pPr>
        <w:pStyle w:val="Pa1"/>
        <w:jc w:val="both"/>
        <w:rPr>
          <w:rStyle w:val="A3"/>
        </w:rPr>
      </w:pPr>
      <w:r w:rsidRPr="00F324FB">
        <w:rPr>
          <w:rStyle w:val="A3"/>
        </w:rPr>
        <w:t>Con carencias endémicas de recursos financieros propios, instituciones locales débiles para generarlos internamente y dificultades para encontrarlos en el Estado Nación, las autoridades locales latinoamericanas -en forma generalizada en sus inicios- fundamentaron su participación en la CDP (y en la cooperación al desarrollo en general) en la “captación de recursos”. Esta visión de la CDP como “fuente de recursos” responde claramente al modelo “vertical” o</w:t>
      </w:r>
      <w:r>
        <w:rPr>
          <w:rStyle w:val="A3"/>
        </w:rPr>
        <w:t xml:space="preserve"> </w:t>
      </w:r>
      <w:r>
        <w:rPr>
          <w:rStyle w:val="A3"/>
        </w:rPr>
        <w:t xml:space="preserve">“asistencialista”, en el cual las autoridades </w:t>
      </w:r>
      <w:proofErr w:type="spellStart"/>
      <w:r>
        <w:rPr>
          <w:rStyle w:val="A3"/>
        </w:rPr>
        <w:t>subnacionales</w:t>
      </w:r>
      <w:proofErr w:type="spellEnd"/>
      <w:r>
        <w:rPr>
          <w:rStyle w:val="A3"/>
        </w:rPr>
        <w:t xml:space="preserve"> del Norte ocupan básicamente el rol de fuentes adicionales de financiación de la ayuda. Desde hace algunos años, se ha comenzado a percibir en varios actores públicos locales latinoamericanos un replanteamiento de esta visión, particularmente a partir de dos evidencias. Por un lado, el volumen financiero de que dispone la cooperación descentralizada es limitado (más aún en épocas de crisis como las actuales). Por el otro, existe en los gobiernos no centrales de la región una progresiva toma de conciencia sobre la necesidad de mejorar la gobernanza local y sus propias capacidades de gobierno; para lo cual la captación de recursos financieros -como fundamentación central y exclusiva de las acciones de cooperación- no es suficiente. La CDP bajo el modelo “horizontal”, al poner en contacto directo a actores con experiencia en la gestión de los temas locales y en la política local, puede aportar al desarrollo de aquellas capacidades en la región. </w:t>
      </w:r>
    </w:p>
    <w:p w:rsidR="00F324FB" w:rsidRPr="00F324FB" w:rsidRDefault="00F324FB" w:rsidP="00F324FB">
      <w:pPr>
        <w:pStyle w:val="Default"/>
      </w:pPr>
    </w:p>
    <w:p w:rsidR="00F324FB" w:rsidRDefault="00F324FB" w:rsidP="00F324FB">
      <w:pPr>
        <w:pStyle w:val="Pa1"/>
        <w:jc w:val="both"/>
        <w:rPr>
          <w:rStyle w:val="A3"/>
        </w:rPr>
      </w:pPr>
      <w:r>
        <w:rPr>
          <w:rStyle w:val="A3"/>
        </w:rPr>
        <w:t>En este marco, están comenzando a surgir en los gobiernos locales de América Latina nuevas motivaciones (que ya se han reflejado en algunas prácticas concretas), de carácter político-estratégico, que valorizan los impactos cualitativos de la CDP (básicamente, la de carácter horizontal) sobre la política y la gestión territorial:</w:t>
      </w:r>
    </w:p>
    <w:p w:rsidR="00F324FB" w:rsidRPr="00F324FB" w:rsidRDefault="00F324FB" w:rsidP="00F324FB">
      <w:pPr>
        <w:pStyle w:val="Default"/>
      </w:pPr>
    </w:p>
    <w:p w:rsidR="00F324FB" w:rsidRDefault="00F324FB" w:rsidP="00F324FB">
      <w:pPr>
        <w:pStyle w:val="Pa1"/>
        <w:numPr>
          <w:ilvl w:val="0"/>
          <w:numId w:val="1"/>
        </w:numPr>
        <w:jc w:val="both"/>
        <w:rPr>
          <w:rStyle w:val="A3"/>
        </w:rPr>
      </w:pPr>
      <w:r>
        <w:rPr>
          <w:rStyle w:val="A3"/>
        </w:rPr>
        <w:t xml:space="preserve">Motivaciones vinculadas a los intereses y objetivos de proyección internacional del territorio. Desde esta perspectiva, la CDP es entendida como un mecanismo de internacionalización, con resultados esperados en el plano de las relaciones externas que derivan en impactos sobre el desarrollo local. </w:t>
      </w:r>
    </w:p>
    <w:p w:rsidR="00F324FB" w:rsidRPr="00F324FB" w:rsidRDefault="00F324FB" w:rsidP="00F324FB">
      <w:pPr>
        <w:pStyle w:val="Default"/>
      </w:pPr>
    </w:p>
    <w:p w:rsidR="00F324FB" w:rsidRDefault="00F324FB" w:rsidP="00F324FB">
      <w:pPr>
        <w:pStyle w:val="Pa1"/>
        <w:numPr>
          <w:ilvl w:val="0"/>
          <w:numId w:val="1"/>
        </w:numPr>
        <w:jc w:val="both"/>
        <w:rPr>
          <w:rStyle w:val="A3"/>
        </w:rPr>
      </w:pPr>
      <w:r>
        <w:rPr>
          <w:rStyle w:val="A3"/>
        </w:rPr>
        <w:t xml:space="preserve"> Motivaciones asociadas directamente a las políticas de desarrollo local. En este caso, la CDP es vista como un instrumento de apoyo a la política interna, particularmente en relación con el mejoramiento de la calidad institucional de las autoridades locales y el desarrollo de las capacidades de gobernanza democrática local. </w:t>
      </w:r>
    </w:p>
    <w:p w:rsidR="00F324FB" w:rsidRPr="00F324FB" w:rsidRDefault="00F324FB" w:rsidP="00F324FB">
      <w:pPr>
        <w:pStyle w:val="Default"/>
      </w:pPr>
    </w:p>
    <w:p w:rsidR="00F324FB" w:rsidRDefault="00F324FB" w:rsidP="00F324FB">
      <w:pPr>
        <w:pStyle w:val="Pa1"/>
        <w:numPr>
          <w:ilvl w:val="0"/>
          <w:numId w:val="1"/>
        </w:numPr>
        <w:jc w:val="both"/>
        <w:rPr>
          <w:rStyle w:val="A3"/>
        </w:rPr>
      </w:pPr>
      <w:r>
        <w:rPr>
          <w:rStyle w:val="A3"/>
        </w:rPr>
        <w:t xml:space="preserve"> Motivaciones “derivadas”. Se fundamentan en la</w:t>
      </w:r>
      <w:r>
        <w:rPr>
          <w:rStyle w:val="A3"/>
        </w:rPr>
        <w:t xml:space="preserve"> </w:t>
      </w:r>
      <w:r>
        <w:rPr>
          <w:rStyle w:val="A3"/>
        </w:rPr>
        <w:t xml:space="preserve">capacidad de la CDP para acelerar cambios en las políticas públicas locales, generar innovaciones institucionales, impulsar decisiones. Avances que sin la intervención de actores externos serían muy complicados o mucho más lentos. </w:t>
      </w:r>
    </w:p>
    <w:p w:rsidR="00F324FB" w:rsidRPr="00F324FB" w:rsidRDefault="00F324FB" w:rsidP="00F324FB">
      <w:pPr>
        <w:pStyle w:val="Default"/>
      </w:pPr>
    </w:p>
    <w:p w:rsidR="00F324FB" w:rsidRDefault="00F324FB" w:rsidP="00F324FB">
      <w:pPr>
        <w:pStyle w:val="Pa1"/>
        <w:jc w:val="both"/>
        <w:rPr>
          <w:rStyle w:val="A3"/>
        </w:rPr>
      </w:pPr>
      <w:r>
        <w:rPr>
          <w:rStyle w:val="A3"/>
        </w:rPr>
        <w:t xml:space="preserve">Desde la perspectiva de los gobiernos locales europeos -a pesar de la emergencia de nuevos modelos-, desde la campaña por el 0,7% y hasta la actual crisis económico-financiera, los fundamentos de la CDP en la mayoría de los casos se han basado en el paradigma de las relaciones “solidarias”. La crisis ha instalado la preocupación por los motivos que dan sentido a su acción en el campo de la cooperación al desarrollo, ya que en el actual contexto el fundamento de la solidaridad no es suficiente. Si la crisis impacta sobre todos los aspectos de la cooperación al desarrollo, más aún lo hace en el ámbito local, al no considerarse a la CDP -en la mayoría de los casos- como una competencia clásica o natural de los gobiernos locales. </w:t>
      </w:r>
    </w:p>
    <w:p w:rsidR="00F324FB" w:rsidRPr="00F324FB" w:rsidRDefault="00F324FB" w:rsidP="00F324FB">
      <w:pPr>
        <w:pStyle w:val="Default"/>
      </w:pPr>
    </w:p>
    <w:p w:rsidR="00F324FB" w:rsidRDefault="00F324FB" w:rsidP="00F324FB">
      <w:pPr>
        <w:pStyle w:val="Pa1"/>
        <w:jc w:val="both"/>
        <w:rPr>
          <w:rStyle w:val="A3"/>
        </w:rPr>
      </w:pPr>
      <w:r>
        <w:rPr>
          <w:rStyle w:val="A3"/>
        </w:rPr>
        <w:t xml:space="preserve">Como explica Agustí Fernández de Losada (2010), se ha puesto en evidencia la necesidad actual (y la pertinencia a futuro) de considerar a la CDP (básicamente en su forma “horizontal”) como una política pública que responda a las orientaciones estratégicas del gobierno local, se vincule con los retos y necesidades de su territorio y se articule, por ende, con las restantes políticas públicas locales. Se trata, en definitiva, de transitar desde una CDP fundamentada sólo en valores hacia una política pública que reconociendo el valor de la solidaridad- tenga una orientación estratégica para el gobierno local. Este tránsito implicaría un salto cualitativo en la CDP europea, más allá de la crisis. La CDP puede encontrar un marco estratégico -desde donde fundamentarse- en la proyección exterior del territorio. Puede -y de hecho lo hace en algunos casos en la praxis, aunque rara vez en el discurso-, servir de instrumento para las diversas motivaciones (carácter social -como las migraciones-, cultural, económico e institucional o político) que pueden sustentar la estrategia exterior de un territorio. </w:t>
      </w:r>
    </w:p>
    <w:p w:rsidR="00F324FB" w:rsidRPr="00F324FB" w:rsidRDefault="00F324FB" w:rsidP="00F324FB">
      <w:pPr>
        <w:pStyle w:val="Default"/>
      </w:pPr>
    </w:p>
    <w:p w:rsidR="00F324FB" w:rsidRPr="00F324FB" w:rsidRDefault="00F324FB" w:rsidP="00F324FB">
      <w:pPr>
        <w:pStyle w:val="Pa1"/>
        <w:jc w:val="both"/>
        <w:rPr>
          <w:rStyle w:val="A3"/>
        </w:rPr>
      </w:pPr>
      <w:r>
        <w:rPr>
          <w:rStyle w:val="A3"/>
        </w:rPr>
        <w:t>En síntesis, podríamos concluir, a manera de hipótesis</w:t>
      </w:r>
      <w:r>
        <w:rPr>
          <w:rStyle w:val="A3"/>
        </w:rPr>
        <w:t xml:space="preserve"> </w:t>
      </w:r>
      <w:r>
        <w:rPr>
          <w:rStyle w:val="A3"/>
        </w:rPr>
        <w:t>a discutir, que: mientras que por caminos similares los gobiernos locales latinoamericanos y europeos están llegando a un cierto (aunque lento) consenso sobre el tránsito hacia modelos de CDP “horizontales”, la preocupación por los fundamentos que dan sentido a su participación en la cooperación al desarrollo reconocen puntos de partida distintos (pre crisis, en el caso latinoamericano y post crisis, en el europeo) y causas diferentes (valorización de los impactos cualitativos de la CDP sobre la política y la gestión territorial, en el caso latinoamericano; utilidad o importancia estratégica para los gobiernos locales de Europa)</w:t>
      </w:r>
      <w:bookmarkStart w:id="0" w:name="_GoBack"/>
      <w:bookmarkEnd w:id="0"/>
    </w:p>
    <w:sectPr w:rsidR="00F324FB" w:rsidRPr="00F324F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4FB" w:rsidRDefault="00F324FB" w:rsidP="00F324FB">
      <w:pPr>
        <w:spacing w:after="0" w:line="240" w:lineRule="auto"/>
      </w:pPr>
      <w:r>
        <w:separator/>
      </w:r>
    </w:p>
  </w:endnote>
  <w:endnote w:type="continuationSeparator" w:id="0">
    <w:p w:rsidR="00F324FB" w:rsidRDefault="00F324FB" w:rsidP="00F32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4FB" w:rsidRDefault="00F324FB" w:rsidP="00F324FB">
      <w:pPr>
        <w:spacing w:after="0" w:line="240" w:lineRule="auto"/>
      </w:pPr>
      <w:r>
        <w:separator/>
      </w:r>
    </w:p>
  </w:footnote>
  <w:footnote w:type="continuationSeparator" w:id="0">
    <w:p w:rsidR="00F324FB" w:rsidRDefault="00F324FB" w:rsidP="00F324FB">
      <w:pPr>
        <w:spacing w:after="0" w:line="240" w:lineRule="auto"/>
      </w:pPr>
      <w:r>
        <w:continuationSeparator/>
      </w:r>
    </w:p>
  </w:footnote>
  <w:footnote w:id="1">
    <w:p w:rsidR="00F324FB" w:rsidRDefault="00F324FB">
      <w:pPr>
        <w:pStyle w:val="Textonotapie"/>
      </w:pPr>
      <w:r>
        <w:rPr>
          <w:rStyle w:val="Refdenotaalpie"/>
        </w:rPr>
        <w:footnoteRef/>
      </w:r>
      <w:r>
        <w:t xml:space="preserve"> </w:t>
      </w:r>
      <w:r w:rsidRPr="00F324FB">
        <w:rPr>
          <w:sz w:val="18"/>
          <w:szCs w:val="18"/>
        </w:rPr>
        <w:t>Utilizamos el concepto de gobierno local en su sentido más amplio, que incluye a todo tipo de instancia de gobierno diferente a la administración central.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E642B"/>
    <w:multiLevelType w:val="hybridMultilevel"/>
    <w:tmpl w:val="2D58D870"/>
    <w:lvl w:ilvl="0" w:tplc="41C0F68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4FB"/>
    <w:rsid w:val="00CC4CC3"/>
    <w:rsid w:val="00CC5F0A"/>
    <w:rsid w:val="00F324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324F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F324FB"/>
    <w:pPr>
      <w:spacing w:line="241" w:lineRule="atLeast"/>
    </w:pPr>
    <w:rPr>
      <w:color w:val="auto"/>
    </w:rPr>
  </w:style>
  <w:style w:type="character" w:customStyle="1" w:styleId="A3">
    <w:name w:val="A3"/>
    <w:uiPriority w:val="99"/>
    <w:rsid w:val="00F324FB"/>
    <w:rPr>
      <w:color w:val="221E1F"/>
      <w:sz w:val="20"/>
      <w:szCs w:val="20"/>
    </w:rPr>
  </w:style>
  <w:style w:type="character" w:customStyle="1" w:styleId="A9">
    <w:name w:val="A9"/>
    <w:uiPriority w:val="99"/>
    <w:rsid w:val="00F324FB"/>
    <w:rPr>
      <w:color w:val="221E1F"/>
      <w:sz w:val="11"/>
      <w:szCs w:val="11"/>
    </w:rPr>
  </w:style>
  <w:style w:type="character" w:customStyle="1" w:styleId="A4">
    <w:name w:val="A4"/>
    <w:uiPriority w:val="99"/>
    <w:rsid w:val="00F324FB"/>
    <w:rPr>
      <w:color w:val="F27E23"/>
      <w:sz w:val="16"/>
      <w:szCs w:val="16"/>
    </w:rPr>
  </w:style>
  <w:style w:type="paragraph" w:styleId="Textonotapie">
    <w:name w:val="footnote text"/>
    <w:basedOn w:val="Normal"/>
    <w:link w:val="TextonotapieCar"/>
    <w:uiPriority w:val="99"/>
    <w:semiHidden/>
    <w:unhideWhenUsed/>
    <w:rsid w:val="00F324F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324FB"/>
    <w:rPr>
      <w:sz w:val="20"/>
      <w:szCs w:val="20"/>
    </w:rPr>
  </w:style>
  <w:style w:type="character" w:styleId="Refdenotaalpie">
    <w:name w:val="footnote reference"/>
    <w:basedOn w:val="Fuentedeprrafopredeter"/>
    <w:uiPriority w:val="99"/>
    <w:semiHidden/>
    <w:unhideWhenUsed/>
    <w:rsid w:val="00F324F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324F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F324FB"/>
    <w:pPr>
      <w:spacing w:line="241" w:lineRule="atLeast"/>
    </w:pPr>
    <w:rPr>
      <w:color w:val="auto"/>
    </w:rPr>
  </w:style>
  <w:style w:type="character" w:customStyle="1" w:styleId="A3">
    <w:name w:val="A3"/>
    <w:uiPriority w:val="99"/>
    <w:rsid w:val="00F324FB"/>
    <w:rPr>
      <w:color w:val="221E1F"/>
      <w:sz w:val="20"/>
      <w:szCs w:val="20"/>
    </w:rPr>
  </w:style>
  <w:style w:type="character" w:customStyle="1" w:styleId="A9">
    <w:name w:val="A9"/>
    <w:uiPriority w:val="99"/>
    <w:rsid w:val="00F324FB"/>
    <w:rPr>
      <w:color w:val="221E1F"/>
      <w:sz w:val="11"/>
      <w:szCs w:val="11"/>
    </w:rPr>
  </w:style>
  <w:style w:type="character" w:customStyle="1" w:styleId="A4">
    <w:name w:val="A4"/>
    <w:uiPriority w:val="99"/>
    <w:rsid w:val="00F324FB"/>
    <w:rPr>
      <w:color w:val="F27E23"/>
      <w:sz w:val="16"/>
      <w:szCs w:val="16"/>
    </w:rPr>
  </w:style>
  <w:style w:type="paragraph" w:styleId="Textonotapie">
    <w:name w:val="footnote text"/>
    <w:basedOn w:val="Normal"/>
    <w:link w:val="TextonotapieCar"/>
    <w:uiPriority w:val="99"/>
    <w:semiHidden/>
    <w:unhideWhenUsed/>
    <w:rsid w:val="00F324F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324FB"/>
    <w:rPr>
      <w:sz w:val="20"/>
      <w:szCs w:val="20"/>
    </w:rPr>
  </w:style>
  <w:style w:type="character" w:styleId="Refdenotaalpie">
    <w:name w:val="footnote reference"/>
    <w:basedOn w:val="Fuentedeprrafopredeter"/>
    <w:uiPriority w:val="99"/>
    <w:semiHidden/>
    <w:unhideWhenUsed/>
    <w:rsid w:val="00F324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A8CF0-90A0-4757-A036-120173FE0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1563</Words>
  <Characters>8599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Esteban Tomás Navarro Mulas</dc:creator>
  <cp:lastModifiedBy>Esteban Tomás Navarro Mulas</cp:lastModifiedBy>
  <cp:revision>2</cp:revision>
  <dcterms:created xsi:type="dcterms:W3CDTF">2012-04-23T09:40:00Z</dcterms:created>
  <dcterms:modified xsi:type="dcterms:W3CDTF">2012-04-23T09:40:00Z</dcterms:modified>
</cp:coreProperties>
</file>